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46 vom 5. Juni 2013</w:t>
      </w:r>
    </w:p>
    <w:p>
      <w:r>
        <w:t>BL Gerichte, 2013-06-05, DE</w:t>
      </w:r>
    </w:p>
    <w:p>
      <w:r>
        <w:rPr>
          <w:b/>
        </w:rPr>
        <w:t xml:space="preserve">Quelle: </w:t>
      </w:r>
      <w:r>
        <w:t>https://mcp.opencaselaw.ch/entscheid/bl_gerichte_810 13 46</w:t>
      </w:r>
    </w:p>
    <w:p>
      <w:r>
        <w:t>FR: BL_GERICHTE 810 13 46 du 5 juin 2013</w:t>
      </w:r>
    </w:p>
    <w:p>
      <w:r>
        <w:t>IT: BL_GERICHTE 810 13 46 del 5 giugno 2013</w:t>
      </w:r>
    </w:p>
    <w:p>
      <w:pPr>
        <w:pStyle w:val="Heading2"/>
      </w:pPr>
      <w:r>
        <w:t>Regeste</w:t>
      </w:r>
    </w:p>
    <w:p>
      <w:r>
        <w:t>Direkte Bundessteuer 2009</w:t>
      </w:r>
    </w:p>
    <w:p>
      <w:pPr>
        <w:pStyle w:val="Heading2"/>
      </w:pPr>
      <w:r>
        <w:t>Erwägungen</w:t>
      </w:r>
    </w:p>
    <w:p>
      <w:r>
        <w:rPr>
          <w:b/>
        </w:rPr>
        <w:t>E. 1</w:t>
      </w:r>
    </w:p>
    <w:p>
      <w:r>
        <w:t>Gemäss § 16 Abs. 2 des Gesetzes über die Verfassungs- und Verwaltungsprozessordnung (VPO) vom 16. Dezember 1993 wendet das Gericht das Recht von Amtes wegen an. Es prüft insbesondere, ob die Eintretensvoraussetzungen erfüllt sind. Die Beschwerde vom 23. Januar 2013 richtet sich gegen den Entscheid des Steuergerichts vom 26. Oktober 2012. Gemäss § 145 des Bundesgesetzes über die direkte Bundessteuer (DBG) vom 14. Dezember 1990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 kantonale Instanz angefochten werden. Die übrigen formellen Voraussetzungen nach Art. 140 ff. DBG und Art. 145 Abs. 2 DBG sowie §§ 43 ff. VPO sind erfüllt, so dass auf die Beschwerde einzutreten ist.</w:t>
      </w:r>
    </w:p>
    <w:p>
      <w:r>
        <w:rPr>
          <w:b/>
        </w:rPr>
        <w:t>E. 2</w:t>
      </w:r>
    </w:p>
    <w:p>
      <w:r>
        <w:t>Nach § 45 Abs. 1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Bundesssteuer gemäss Art. 140 Abs. 3 DBG in Verbindung mit Art. 145 Abs. 2 DBG alle Mängel des angefochtenen Entscheides und des vorangegangenen Verfahrens gerügt werden können. Somit kann das Kantonsgericht vorliegend auch die Angemessenheit des angefochtenen Entscheids überprüfen.</w:t>
      </w:r>
    </w:p>
    <w:p>
      <w:r>
        <w:rPr>
          <w:b/>
        </w:rPr>
        <w:t>E. 3</w:t>
      </w:r>
    </w:p>
    <w:p>
      <w:r>
        <w:t>Es werden keine Verfahrenskosten erhoben. Der geleistete Kostenvorschuss in der Höhe von Fr. 1'400.-- wird dem Beschwerdeführer zurückerstattet.</w:t>
      </w:r>
    </w:p>
    <w:p>
      <w:r>
        <w:rPr>
          <w:b/>
        </w:rPr>
        <w:t>E. 4</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